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  <w:jc w:val="center"/>
      </w:pPr>
      <w:r>
        <w:rPr>
          <w:rFonts w:ascii="Arial" w:cs="Arial" w:eastAsia="Arial" w:hAnsi="Arial"/>
          <w:b/>
          <w:bCs/>
          <w:color w:val="1B3A6B"/>
          <w:sz w:val="52"/>
          <w:szCs w:val="52"/>
        </w:rPr>
        <w:t xml:space="preserve">SHUBHABRATA GANGULY</w:t>
      </w:r>
    </w:p>
    <w:p>
      <w:pPr>
        <w:spacing w:after="40" w:before="0"/>
        <w:jc w:val="center"/>
      </w:pPr>
      <w:r>
        <w:rPr>
          <w:rFonts w:ascii="Arial" w:cs="Arial" w:eastAsia="Arial" w:hAnsi="Arial"/>
          <w:i w:val="false"/>
          <w:iCs w:val="false"/>
          <w:color w:val="2E6DA4"/>
          <w:sz w:val="24"/>
          <w:szCs w:val="24"/>
        </w:rPr>
        <w:t xml:space="preserve">AI/ML Engineer  ·  Generative AI Engineer  ·  AI Platform &amp; Automation Specialist</w:t>
      </w:r>
    </w:p>
    <w:p>
      <w:pPr>
        <w:spacing w:after="20" w:before="0"/>
        <w:jc w:val="center"/>
      </w:pPr>
      <w:r>
        <w:rPr>
          <w:rFonts w:ascii="Arial" w:cs="Arial" w:eastAsia="Arial" w:hAnsi="Arial"/>
          <w:color w:val="555555"/>
          <w:sz w:val="19"/>
          <w:szCs w:val="19"/>
        </w:rPr>
        <w:t xml:space="preserve">📞 +91 814-211-2949  </w:t>
      </w:r>
      <w:r>
        <w:rPr>
          <w:rFonts w:ascii="Arial" w:cs="Arial" w:eastAsia="Arial" w:hAnsi="Arial"/>
          <w:color w:val="555555"/>
          <w:sz w:val="19"/>
          <w:szCs w:val="19"/>
        </w:rPr>
        <w:t xml:space="preserve">✉ gangulyshubhabrata@gmail.com  </w:t>
      </w:r>
      <w:r>
        <w:rPr>
          <w:rFonts w:ascii="Arial" w:cs="Arial" w:eastAsia="Arial" w:hAnsi="Arial"/>
          <w:color w:val="2E6DA4"/>
          <w:sz w:val="19"/>
          <w:szCs w:val="19"/>
        </w:rPr>
        <w:t xml:space="preserve">🔗 linkedin.com/in/shubhabrata-ganguly-bb578a134</w:t>
      </w:r>
    </w:p>
    <w:p>
      <w:pPr>
        <w:spacing w:after="20" w:before="0"/>
        <w:jc w:val="center"/>
      </w:pPr>
      <w:r>
        <w:rPr>
          <w:rFonts w:ascii="Arial" w:cs="Arial" w:eastAsia="Arial" w:hAnsi="Arial"/>
          <w:color w:val="888888"/>
          <w:sz w:val="18"/>
          <w:szCs w:val="18"/>
        </w:rPr>
        <w:t xml:space="preserve">📍 Kolkata, India  ·  Open to Remote &amp; Hybrid Roles</w:t>
      </w:r>
    </w:p>
    <w:p>
      <w:pPr>
        <w:pBdr>
          <w:bottom w:val="single" w:color="2E6DA4" w:sz="12" w:space="1"/>
        </w:pBdr>
        <w:spacing w:after="160" w:before="100"/>
      </w:pPr>
    </w:p>
    <w:p>
      <w:pPr>
        <w:pBdr>
          <w:bottom w:val="single" w:color="2E6DA4" w:sz="8" w:space="4"/>
        </w:pBdr>
        <w:spacing w:after="60" w:before="240"/>
      </w:pPr>
      <w:r>
        <w:rPr>
          <w:rFonts w:ascii="Arial" w:cs="Arial" w:eastAsia="Arial" w:hAnsi="Arial"/>
          <w:b/>
          <w:bCs/>
          <w:color w:val="1B3A6B"/>
          <w:sz w:val="22"/>
          <w:szCs w:val="22"/>
        </w:rPr>
        <w:t xml:space="preserve">PROFESSIONAL SUMMARY</w:t>
      </w:r>
    </w:p>
    <w:p>
      <w:pPr>
        <w:spacing w:after="80" w:before="0"/>
      </w:pPr>
    </w:p>
    <w:p>
      <w:pPr>
        <w:spacing w:after="0" w:before="0"/>
        <w:jc w:val="left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Results-driven engineering professional with 11+ years of experience building scalable automation frameworks, cloud-integrated pipelines, and API-driven systems across enterprise environments. Demonstrated expertise in Python engineering, CI/CD architecture, performance engineering, and cross-functional technical leadership. Currently advancing into AI/ML Engineering through a Post Graduate Program in Artificial Intelligence &amp; Machine Learning (University of Texas at Austin), with focused study in LLM Engineering, Generative AI, RAG architectures, NLP, and the Python AI ecosystem. Combining a strong software engineering foundation with emerging AI capabilities to engineer intelligent, production-grade AI solutions.</w:t>
      </w:r>
    </w:p>
    <w:p>
      <w:pPr>
        <w:spacing w:after="120" w:before="0"/>
      </w:pPr>
    </w:p>
    <w:p>
      <w:pPr>
        <w:pBdr>
          <w:bottom w:val="single" w:color="2E6DA4" w:sz="8" w:space="4"/>
        </w:pBdr>
        <w:spacing w:after="60" w:before="240"/>
      </w:pPr>
      <w:r>
        <w:rPr>
          <w:rFonts w:ascii="Arial" w:cs="Arial" w:eastAsia="Arial" w:hAnsi="Arial"/>
          <w:b/>
          <w:bCs/>
          <w:color w:val="1B3A6B"/>
          <w:sz w:val="22"/>
          <w:szCs w:val="22"/>
        </w:rPr>
        <w:t xml:space="preserve">TECHNICAL SKILLS</w:t>
      </w:r>
    </w:p>
    <w:p>
      <w:pPr>
        <w:spacing w:after="120" w:before="0"/>
      </w:pPr>
    </w:p>
    <w:tbl>
      <w:tblPr>
        <w:tblW w:type="dxa" w:w="936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1600"/>
        <w:gridCol w:w="7760"/>
      </w:tblGrid>
      <w:tr>
        <w:tc>
          <w:tcPr>
            <w:tcW w:type="dxa" w:w="1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EF3FA" w:val="clear"/>
            <w:tcMar>
              <w:top w:type="dxa" w:w="60"/>
              <w:left w:type="dxa" w:w="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B3A6B"/>
                <w:sz w:val="19"/>
                <w:szCs w:val="19"/>
              </w:rPr>
              <w:t xml:space="preserve">AI / ML</w:t>
            </w:r>
          </w:p>
        </w:tc>
        <w:tc>
          <w:tcPr>
            <w:tcW w:type="dxa" w:w="77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EF3FA" w:val="clear"/>
            <w:tcMar>
              <w:top w:type="dxa" w:w="60"/>
              <w:left w:type="dxa" w:w="120"/>
              <w:bottom w:type="dxa" w:w="60"/>
              <w:right w:type="dxa" w:w="0"/>
            </w:tcMar>
          </w:tcPr>
          <w:p>
            <w:r>
              <w:rPr>
                <w:rFonts w:ascii="Arial" w:cs="Arial" w:eastAsia="Arial" w:hAnsi="Arial"/>
                <w:color w:val="555555"/>
                <w:sz w:val="19"/>
                <w:szCs w:val="19"/>
              </w:rPr>
              <w:t xml:space="preserve">Python (NumPy, Pandas, Scikit-learn)  ·  TensorFlow  ·  PyTorch  ·  LangChain  ·  OpenAI API  ·  Hugging Face  ·  Prompt Engineering  ·  RAG  ·  Vector Databases  ·  NLP  ·  Deep Learning</w:t>
            </w:r>
          </w:p>
        </w:tc>
      </w:tr>
      <w:tr>
        <w:tc>
          <w:tcPr>
            <w:tcW w:type="dxa" w:w="1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EF3FA" w:val="clear"/>
            <w:tcMar>
              <w:top w:type="dxa" w:w="60"/>
              <w:left w:type="dxa" w:w="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B3A6B"/>
                <w:sz w:val="19"/>
                <w:szCs w:val="19"/>
              </w:rPr>
              <w:t xml:space="preserve">GenAI &amp; LLMs</w:t>
            </w:r>
          </w:p>
        </w:tc>
        <w:tc>
          <w:tcPr>
            <w:tcW w:type="dxa" w:w="77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EF3FA" w:val="clear"/>
            <w:tcMar>
              <w:top w:type="dxa" w:w="60"/>
              <w:left w:type="dxa" w:w="120"/>
              <w:bottom w:type="dxa" w:w="60"/>
              <w:right w:type="dxa" w:w="0"/>
            </w:tcMar>
          </w:tcPr>
          <w:p>
            <w:r>
              <w:rPr>
                <w:rFonts w:ascii="Arial" w:cs="Arial" w:eastAsia="Arial" w:hAnsi="Arial"/>
                <w:color w:val="555555"/>
                <w:sz w:val="19"/>
                <w:szCs w:val="19"/>
              </w:rPr>
              <w:t xml:space="preserve">LLM Fine-tuning  ·  Retrieval-Augmented Generation (RAG)  ·  LangChain  ·  LlamaIndex  ·  ChatGPT / GPT-4 API  ·  Embeddings  ·  Semantic Search  ·  AI Agents  ·  AI Workflow Orchestration</w:t>
            </w:r>
          </w:p>
        </w:tc>
      </w:tr>
      <w:tr>
        <w:tc>
          <w:tcPr>
            <w:tcW w:type="dxa" w:w="1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EF3FA" w:val="clear"/>
            <w:tcMar>
              <w:top w:type="dxa" w:w="60"/>
              <w:left w:type="dxa" w:w="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B3A6B"/>
                <w:sz w:val="19"/>
                <w:szCs w:val="19"/>
              </w:rPr>
              <w:t xml:space="preserve">Languages</w:t>
            </w:r>
          </w:p>
        </w:tc>
        <w:tc>
          <w:tcPr>
            <w:tcW w:type="dxa" w:w="77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EF3FA" w:val="clear"/>
            <w:tcMar>
              <w:top w:type="dxa" w:w="60"/>
              <w:left w:type="dxa" w:w="120"/>
              <w:bottom w:type="dxa" w:w="60"/>
              <w:right w:type="dxa" w:w="0"/>
            </w:tcMar>
          </w:tcPr>
          <w:p>
            <w:r>
              <w:rPr>
                <w:rFonts w:ascii="Arial" w:cs="Arial" w:eastAsia="Arial" w:hAnsi="Arial"/>
                <w:color w:val="555555"/>
                <w:sz w:val="19"/>
                <w:szCs w:val="19"/>
              </w:rPr>
              <w:t xml:space="preserve">Python  ·  Java  ·  JavaScript  ·  Bash / Shell</w:t>
            </w:r>
          </w:p>
        </w:tc>
      </w:tr>
      <w:tr>
        <w:tc>
          <w:tcPr>
            <w:tcW w:type="dxa" w:w="1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EF3FA" w:val="clear"/>
            <w:tcMar>
              <w:top w:type="dxa" w:w="60"/>
              <w:left w:type="dxa" w:w="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B3A6B"/>
                <w:sz w:val="19"/>
                <w:szCs w:val="19"/>
              </w:rPr>
              <w:t xml:space="preserve">Automation</w:t>
            </w:r>
          </w:p>
        </w:tc>
        <w:tc>
          <w:tcPr>
            <w:tcW w:type="dxa" w:w="77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EF3FA" w:val="clear"/>
            <w:tcMar>
              <w:top w:type="dxa" w:w="60"/>
              <w:left w:type="dxa" w:w="120"/>
              <w:bottom w:type="dxa" w:w="60"/>
              <w:right w:type="dxa" w:w="0"/>
            </w:tcMar>
          </w:tcPr>
          <w:p>
            <w:r>
              <w:rPr>
                <w:rFonts w:ascii="Arial" w:cs="Arial" w:eastAsia="Arial" w:hAnsi="Arial"/>
                <w:color w:val="555555"/>
                <w:sz w:val="19"/>
                <w:szCs w:val="19"/>
              </w:rPr>
              <w:t xml:space="preserve">Selenium WebDriver  ·  Playwright  ·  Appium  ·  REST Assured  ·  API Automation  ·  CI/CD Pipeline Engineering</w:t>
            </w:r>
          </w:p>
        </w:tc>
      </w:tr>
      <w:tr>
        <w:tc>
          <w:tcPr>
            <w:tcW w:type="dxa" w:w="1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EF3FA" w:val="clear"/>
            <w:tcMar>
              <w:top w:type="dxa" w:w="60"/>
              <w:left w:type="dxa" w:w="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B3A6B"/>
                <w:sz w:val="19"/>
                <w:szCs w:val="19"/>
              </w:rPr>
              <w:t xml:space="preserve">Cloud &amp; DevOps</w:t>
            </w:r>
          </w:p>
        </w:tc>
        <w:tc>
          <w:tcPr>
            <w:tcW w:type="dxa" w:w="77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EF3FA" w:val="clear"/>
            <w:tcMar>
              <w:top w:type="dxa" w:w="60"/>
              <w:left w:type="dxa" w:w="120"/>
              <w:bottom w:type="dxa" w:w="60"/>
              <w:right w:type="dxa" w:w="0"/>
            </w:tcMar>
          </w:tcPr>
          <w:p>
            <w:r>
              <w:rPr>
                <w:rFonts w:ascii="Arial" w:cs="Arial" w:eastAsia="Arial" w:hAnsi="Arial"/>
                <w:color w:val="555555"/>
                <w:sz w:val="19"/>
                <w:szCs w:val="19"/>
              </w:rPr>
              <w:t xml:space="preserve">Azure (AI Fundamentals)  ·  AWS (Cloud Practitioner)  ·  Docker  ·  Azure DevOps  ·  GitHub Actions  ·  Jenkins</w:t>
            </w:r>
          </w:p>
        </w:tc>
      </w:tr>
      <w:tr>
        <w:tc>
          <w:tcPr>
            <w:tcW w:type="dxa" w:w="1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EF3FA" w:val="clear"/>
            <w:tcMar>
              <w:top w:type="dxa" w:w="60"/>
              <w:left w:type="dxa" w:w="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B3A6B"/>
                <w:sz w:val="19"/>
                <w:szCs w:val="19"/>
              </w:rPr>
              <w:t xml:space="preserve">Performance</w:t>
            </w:r>
          </w:p>
        </w:tc>
        <w:tc>
          <w:tcPr>
            <w:tcW w:type="dxa" w:w="77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EF3FA" w:val="clear"/>
            <w:tcMar>
              <w:top w:type="dxa" w:w="60"/>
              <w:left w:type="dxa" w:w="120"/>
              <w:bottom w:type="dxa" w:w="60"/>
              <w:right w:type="dxa" w:w="0"/>
            </w:tcMar>
          </w:tcPr>
          <w:p>
            <w:r>
              <w:rPr>
                <w:rFonts w:ascii="Arial" w:cs="Arial" w:eastAsia="Arial" w:hAnsi="Arial"/>
                <w:color w:val="555555"/>
                <w:sz w:val="19"/>
                <w:szCs w:val="19"/>
              </w:rPr>
              <w:t xml:space="preserve">JMeter  ·  BlazeMeter  ·  Load &amp; Stress Testing  ·  Bottleneck Analysis</w:t>
            </w:r>
          </w:p>
        </w:tc>
      </w:tr>
      <w:tr>
        <w:tc>
          <w:tcPr>
            <w:tcW w:type="dxa" w:w="1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EF3FA" w:val="clear"/>
            <w:tcMar>
              <w:top w:type="dxa" w:w="60"/>
              <w:left w:type="dxa" w:w="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B3A6B"/>
                <w:sz w:val="19"/>
                <w:szCs w:val="19"/>
              </w:rPr>
              <w:t xml:space="preserve">Methodologies</w:t>
            </w:r>
          </w:p>
        </w:tc>
        <w:tc>
          <w:tcPr>
            <w:tcW w:type="dxa" w:w="77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EF3FA" w:val="clear"/>
            <w:tcMar>
              <w:top w:type="dxa" w:w="60"/>
              <w:left w:type="dxa" w:w="120"/>
              <w:bottom w:type="dxa" w:w="60"/>
              <w:right w:type="dxa" w:w="0"/>
            </w:tcMar>
          </w:tcPr>
          <w:p>
            <w:r>
              <w:rPr>
                <w:rFonts w:ascii="Arial" w:cs="Arial" w:eastAsia="Arial" w:hAnsi="Arial"/>
                <w:color w:val="555555"/>
                <w:sz w:val="19"/>
                <w:szCs w:val="19"/>
              </w:rPr>
              <w:t xml:space="preserve">Agile / SAFe 6.0  ·  Scrum  ·  SDLC  ·  Lean Six Sigma  ·  Cross-functional Leadership</w:t>
            </w:r>
          </w:p>
        </w:tc>
      </w:tr>
    </w:tbl>
    <w:p>
      <w:pPr>
        <w:spacing w:after="120" w:before="0"/>
      </w:pPr>
    </w:p>
    <w:p>
      <w:pPr>
        <w:pBdr>
          <w:bottom w:val="single" w:color="2E6DA4" w:sz="8" w:space="4"/>
        </w:pBdr>
        <w:spacing w:after="60" w:before="240"/>
      </w:pPr>
      <w:r>
        <w:rPr>
          <w:rFonts w:ascii="Arial" w:cs="Arial" w:eastAsia="Arial" w:hAnsi="Arial"/>
          <w:b/>
          <w:bCs/>
          <w:color w:val="1B3A6B"/>
          <w:sz w:val="22"/>
          <w:szCs w:val="22"/>
        </w:rPr>
        <w:t xml:space="preserve">AI/ML LEARNING &amp; PROJECTS</w:t>
      </w:r>
    </w:p>
    <w:p>
      <w:pPr>
        <w:spacing w:after="80" w:before="0"/>
      </w:pPr>
    </w:p>
    <w:p>
      <w:pPr>
        <w:spacing w:after="40" w:before="80"/>
      </w:pPr>
      <w:r>
        <w:rPr>
          <w:rFonts w:ascii="Arial" w:cs="Arial" w:eastAsia="Arial" w:hAnsi="Arial"/>
          <w:b/>
          <w:bCs/>
          <w:color w:val="1B3A6B"/>
          <w:sz w:val="21"/>
          <w:szCs w:val="21"/>
        </w:rPr>
        <w:t xml:space="preserve">Post Graduate Program – AI &amp; Machine Learning</w:t>
      </w:r>
      <w:r>
        <w:rPr>
          <w:rFonts w:ascii="Arial" w:cs="Arial" w:eastAsia="Arial" w:hAnsi="Arial"/>
          <w:i/>
          <w:iCs/>
          <w:color w:val="2E6DA4"/>
          <w:sz w:val="19"/>
          <w:szCs w:val="19"/>
        </w:rPr>
        <w:t xml:space="preserve">  ·  University of Texas at Austin (In Progress)</w:t>
      </w:r>
    </w:p>
    <w:p>
      <w:pPr>
        <w:pStyle w:val="ListParagraph"/>
        <w:numPr>
          <w:ilvl w:val="0"/>
          <w:numId w:val="2"/>
        </w:numPr>
        <w:spacing w:after="30" w:before="30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Coursework: Supervised &amp; Unsupervised Learning, Deep Learning, NLP, Computer Vision, LLM Engineering, Generative AI, Prompt Engineering, RAG Pipelines, and AI Workflow Automation.</w:t>
      </w:r>
    </w:p>
    <w:p>
      <w:pPr>
        <w:pStyle w:val="ListParagraph"/>
        <w:numPr>
          <w:ilvl w:val="0"/>
          <w:numId w:val="2"/>
        </w:numPr>
        <w:spacing w:after="30" w:before="30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Hands-on with Python AI ecosystem: LangChain, Hugging Face Transformers, OpenAI API, FAISS, ChromaDB, LlamaIndex.</w:t>
      </w:r>
    </w:p>
    <w:p>
      <w:pPr>
        <w:spacing w:after="120" w:before="0"/>
      </w:pPr>
    </w:p>
    <w:p>
      <w:pPr>
        <w:spacing w:after="40" w:before="80"/>
      </w:pPr>
      <w:r>
        <w:rPr>
          <w:rFonts w:ascii="Arial" w:cs="Arial" w:eastAsia="Arial" w:hAnsi="Arial"/>
          <w:b/>
          <w:bCs/>
          <w:color w:val="1B3A6B"/>
          <w:sz w:val="21"/>
          <w:szCs w:val="21"/>
        </w:rPr>
        <w:t xml:space="preserve">Project: AI-Powered Test Automation Assistant</w:t>
      </w:r>
      <w:r>
        <w:rPr>
          <w:rFonts w:ascii="Arial" w:cs="Arial" w:eastAsia="Arial" w:hAnsi="Arial"/>
          <w:i/>
          <w:iCs/>
          <w:color w:val="2E6DA4"/>
          <w:sz w:val="19"/>
          <w:szCs w:val="19"/>
        </w:rPr>
        <w:t xml:space="preserve">  ·  Python, LangChain, OpenAI API, Selenium</w:t>
      </w:r>
    </w:p>
    <w:p>
      <w:pPr>
        <w:pStyle w:val="ListParagraph"/>
        <w:numPr>
          <w:ilvl w:val="0"/>
          <w:numId w:val="2"/>
        </w:numPr>
        <w:spacing w:after="30" w:before="30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Engineered an LLM-driven assistant that auto-generates Selenium test scripts from natural language feature descriptions, reducing script authoring effort by ~60%.</w:t>
      </w:r>
    </w:p>
    <w:p>
      <w:pPr>
        <w:pStyle w:val="ListParagraph"/>
        <w:numPr>
          <w:ilvl w:val="0"/>
          <w:numId w:val="2"/>
        </w:numPr>
        <w:spacing w:after="30" w:before="30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Implemented prompt chaining and few-shot prompting with LangChain to produce context-aware, executable Python test code.</w:t>
      </w:r>
    </w:p>
    <w:p>
      <w:pPr>
        <w:spacing w:after="80" w:before="0"/>
      </w:pPr>
    </w:p>
    <w:p>
      <w:pPr>
        <w:spacing w:after="40" w:before="80"/>
      </w:pPr>
      <w:r>
        <w:rPr>
          <w:rFonts w:ascii="Arial" w:cs="Arial" w:eastAsia="Arial" w:hAnsi="Arial"/>
          <w:b/>
          <w:bCs/>
          <w:color w:val="1B3A6B"/>
          <w:sz w:val="21"/>
          <w:szCs w:val="21"/>
        </w:rPr>
        <w:t xml:space="preserve">Project: RAG-Based Knowledge Retrieval System</w:t>
      </w:r>
      <w:r>
        <w:rPr>
          <w:rFonts w:ascii="Arial" w:cs="Arial" w:eastAsia="Arial" w:hAnsi="Arial"/>
          <w:i/>
          <w:iCs/>
          <w:color w:val="2E6DA4"/>
          <w:sz w:val="19"/>
          <w:szCs w:val="19"/>
        </w:rPr>
        <w:t xml:space="preserve">  ·  Python, LlamaIndex, FAISS, GPT-4</w:t>
      </w:r>
    </w:p>
    <w:p>
      <w:pPr>
        <w:pStyle w:val="ListParagraph"/>
        <w:numPr>
          <w:ilvl w:val="0"/>
          <w:numId w:val="2"/>
        </w:numPr>
        <w:spacing w:after="30" w:before="30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Built a Retrieval-Augmented Generation (RAG) pipeline to query internal technical documentation using semantic search over vector embeddings stored in FAISS.</w:t>
      </w:r>
    </w:p>
    <w:p>
      <w:pPr>
        <w:pStyle w:val="ListParagraph"/>
        <w:numPr>
          <w:ilvl w:val="0"/>
          <w:numId w:val="2"/>
        </w:numPr>
        <w:spacing w:after="30" w:before="30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Integrated OpenAI GPT-4 for final answer synthesis, achieving high relevance scores on domain-specific Q&amp;A benchmarks.</w:t>
      </w:r>
    </w:p>
    <w:p>
      <w:pPr>
        <w:spacing w:after="80" w:before="0"/>
      </w:pPr>
    </w:p>
    <w:p>
      <w:pPr>
        <w:spacing w:after="40" w:before="80"/>
      </w:pPr>
      <w:r>
        <w:rPr>
          <w:rFonts w:ascii="Arial" w:cs="Arial" w:eastAsia="Arial" w:hAnsi="Arial"/>
          <w:b/>
          <w:bCs/>
          <w:color w:val="1B3A6B"/>
          <w:sz w:val="21"/>
          <w:szCs w:val="21"/>
        </w:rPr>
        <w:t xml:space="preserve">Project: API Performance Anomaly Detection with ML</w:t>
      </w:r>
      <w:r>
        <w:rPr>
          <w:rFonts w:ascii="Arial" w:cs="Arial" w:eastAsia="Arial" w:hAnsi="Arial"/>
          <w:i/>
          <w:iCs/>
          <w:color w:val="2E6DA4"/>
          <w:sz w:val="19"/>
          <w:szCs w:val="19"/>
        </w:rPr>
        <w:t xml:space="preserve">  ·  Python, Scikit-learn, Pandas, JMeter</w:t>
      </w:r>
    </w:p>
    <w:p>
      <w:pPr>
        <w:pStyle w:val="ListParagraph"/>
        <w:numPr>
          <w:ilvl w:val="0"/>
          <w:numId w:val="2"/>
        </w:numPr>
        <w:spacing w:after="30" w:before="30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Applied Isolation Forest and time-series anomaly detection on JMeter performance logs to proactively surface API latency regressions before production deployments.</w:t>
      </w:r>
    </w:p>
    <w:p>
      <w:pPr>
        <w:pStyle w:val="ListParagraph"/>
        <w:numPr>
          <w:ilvl w:val="0"/>
          <w:numId w:val="2"/>
        </w:numPr>
        <w:spacing w:after="30" w:before="30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Reduced mean time to detect (MTTD) performance degradation by 40% through automated alerting integrated into the CI/CD pipeline.</w:t>
      </w:r>
    </w:p>
    <w:p>
      <w:pPr>
        <w:spacing w:after="120" w:before="0"/>
      </w:pPr>
    </w:p>
    <w:p>
      <w:pPr>
        <w:pBdr>
          <w:bottom w:val="single" w:color="2E6DA4" w:sz="8" w:space="4"/>
        </w:pBdr>
        <w:spacing w:after="60" w:before="240"/>
      </w:pPr>
      <w:r>
        <w:rPr>
          <w:rFonts w:ascii="Arial" w:cs="Arial" w:eastAsia="Arial" w:hAnsi="Arial"/>
          <w:b/>
          <w:bCs/>
          <w:color w:val="1B3A6B"/>
          <w:sz w:val="22"/>
          <w:szCs w:val="22"/>
        </w:rPr>
        <w:t xml:space="preserve">PROFESSIONAL EXPERIENCE</w:t>
      </w:r>
    </w:p>
    <w:tbl>
      <w:tblPr>
        <w:tblW w:type="dxa" w:w="936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6000"/>
        <w:gridCol w:w="3360"/>
      </w:tblGrid>
      <w:tr>
        <w:tc>
          <w:tcPr>
            <w:tcW w:type="dxa" w:w="6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30" w:before="160"/>
            </w:pPr>
            <w:r>
              <w:rPr>
                <w:rFonts w:ascii="Arial" w:cs="Arial" w:eastAsia="Arial" w:hAnsi="Arial"/>
                <w:b/>
                <w:bCs/>
                <w:color w:val="1B3A6B"/>
                <w:sz w:val="22"/>
                <w:szCs w:val="22"/>
              </w:rPr>
              <w:t xml:space="preserve">Software Engineering Manager – Quality &amp; Automation</w:t>
            </w:r>
            <w:r>
              <w:rPr>
                <w:rFonts w:ascii="Arial" w:cs="Arial" w:eastAsia="Arial" w:hAnsi="Arial"/>
                <w:color w:val="2E6DA4"/>
                <w:sz w:val="20"/>
                <w:szCs w:val="20"/>
              </w:rPr>
              <w:t xml:space="preserve">  |  PwC Acceleration Centre</w:t>
            </w:r>
          </w:p>
        </w:tc>
        <w:tc>
          <w:tcPr>
            <w:tcW w:type="dxa" w:w="3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30" w:before="160"/>
              <w:jc w:val="right"/>
            </w:pPr>
            <w:r>
              <w:rPr>
                <w:rFonts w:ascii="Arial" w:cs="Arial" w:eastAsia="Arial" w:hAnsi="Arial"/>
                <w:i/>
                <w:iCs/>
                <w:color w:val="888888"/>
                <w:sz w:val="18"/>
                <w:szCs w:val="18"/>
              </w:rPr>
              <w:t xml:space="preserve">Jul 2024 – Present</w:t>
            </w:r>
          </w:p>
        </w:tc>
      </w:tr>
    </w:tbl>
    <w:p>
      <w:pPr>
        <w:spacing w:after="80" w:before="20"/>
      </w:pPr>
      <w:r>
        <w:rPr>
          <w:rFonts w:ascii="Arial" w:cs="Arial" w:eastAsia="Arial" w:hAnsi="Arial"/>
          <w:b/>
          <w:bCs/>
          <w:color w:val="2E6DA4"/>
          <w:sz w:val="17"/>
          <w:szCs w:val="17"/>
        </w:rPr>
        <w:t xml:space="preserve"> Python </w:t>
      </w:r>
      <w:r>
        <w:rPr>
          <w:rFonts w:ascii="Arial" w:cs="Arial" w:eastAsia="Arial" w:hAnsi="Arial"/>
          <w:color w:val="888888"/>
          <w:sz w:val="17"/>
          <w:szCs w:val="17"/>
        </w:rPr>
        <w:t xml:space="preserve">·</w:t>
      </w:r>
      <w:r>
        <w:rPr>
          <w:rFonts w:ascii="Arial" w:cs="Arial" w:eastAsia="Arial" w:hAnsi="Arial"/>
          <w:b/>
          <w:bCs/>
          <w:color w:val="2E6DA4"/>
          <w:sz w:val="17"/>
          <w:szCs w:val="17"/>
        </w:rPr>
        <w:t xml:space="preserve"> Selenium </w:t>
      </w:r>
      <w:r>
        <w:rPr>
          <w:rFonts w:ascii="Arial" w:cs="Arial" w:eastAsia="Arial" w:hAnsi="Arial"/>
          <w:color w:val="888888"/>
          <w:sz w:val="17"/>
          <w:szCs w:val="17"/>
        </w:rPr>
        <w:t xml:space="preserve">·</w:t>
      </w:r>
      <w:r>
        <w:rPr>
          <w:rFonts w:ascii="Arial" w:cs="Arial" w:eastAsia="Arial" w:hAnsi="Arial"/>
          <w:b/>
          <w:bCs/>
          <w:color w:val="2E6DA4"/>
          <w:sz w:val="17"/>
          <w:szCs w:val="17"/>
        </w:rPr>
        <w:t xml:space="preserve"> Playwright </w:t>
      </w:r>
      <w:r>
        <w:rPr>
          <w:rFonts w:ascii="Arial" w:cs="Arial" w:eastAsia="Arial" w:hAnsi="Arial"/>
          <w:color w:val="888888"/>
          <w:sz w:val="17"/>
          <w:szCs w:val="17"/>
        </w:rPr>
        <w:t xml:space="preserve">·</w:t>
      </w:r>
      <w:r>
        <w:rPr>
          <w:rFonts w:ascii="Arial" w:cs="Arial" w:eastAsia="Arial" w:hAnsi="Arial"/>
          <w:b/>
          <w:bCs/>
          <w:color w:val="2E6DA4"/>
          <w:sz w:val="17"/>
          <w:szCs w:val="17"/>
        </w:rPr>
        <w:t xml:space="preserve"> Azure DevOps </w:t>
      </w:r>
      <w:r>
        <w:rPr>
          <w:rFonts w:ascii="Arial" w:cs="Arial" w:eastAsia="Arial" w:hAnsi="Arial"/>
          <w:color w:val="888888"/>
          <w:sz w:val="17"/>
          <w:szCs w:val="17"/>
        </w:rPr>
        <w:t xml:space="preserve">·</w:t>
      </w:r>
      <w:r>
        <w:rPr>
          <w:rFonts w:ascii="Arial" w:cs="Arial" w:eastAsia="Arial" w:hAnsi="Arial"/>
          <w:b/>
          <w:bCs/>
          <w:color w:val="2E6DA4"/>
          <w:sz w:val="17"/>
          <w:szCs w:val="17"/>
        </w:rPr>
        <w:t xml:space="preserve"> Mobile Automation </w:t>
      </w:r>
      <w:r>
        <w:rPr>
          <w:rFonts w:ascii="Arial" w:cs="Arial" w:eastAsia="Arial" w:hAnsi="Arial"/>
          <w:color w:val="888888"/>
          <w:sz w:val="17"/>
          <w:szCs w:val="17"/>
        </w:rPr>
        <w:t xml:space="preserve">·</w:t>
      </w:r>
      <w:r>
        <w:rPr>
          <w:rFonts w:ascii="Arial" w:cs="Arial" w:eastAsia="Arial" w:hAnsi="Arial"/>
          <w:b/>
          <w:bCs/>
          <w:color w:val="2E6DA4"/>
          <w:sz w:val="17"/>
          <w:szCs w:val="17"/>
        </w:rPr>
        <w:t xml:space="preserve"> Performance Engineering </w:t>
      </w:r>
      <w:r>
        <w:rPr>
          <w:rFonts w:ascii="Arial" w:cs="Arial" w:eastAsia="Arial" w:hAnsi="Arial"/>
          <w:color w:val="888888"/>
          <w:sz w:val="17"/>
          <w:szCs w:val="17"/>
        </w:rPr>
        <w:t xml:space="preserve">·</w:t>
      </w:r>
      <w:r>
        <w:rPr>
          <w:rFonts w:ascii="Arial" w:cs="Arial" w:eastAsia="Arial" w:hAnsi="Arial"/>
          <w:b/>
          <w:bCs/>
          <w:color w:val="2E6DA4"/>
          <w:sz w:val="17"/>
          <w:szCs w:val="17"/>
        </w:rPr>
        <w:t xml:space="preserve"> AI Tooling </w:t>
      </w:r>
    </w:p>
    <w:p>
      <w:pPr>
        <w:pStyle w:val="ListParagraph"/>
        <w:numPr>
          <w:ilvl w:val="0"/>
          <w:numId w:val="2"/>
        </w:numPr>
        <w:spacing w:after="30" w:before="30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Directed a 15-member engineering team, architecting and delivering enterprise-grade automation frameworks across web, mobile, and API layers.</w:t>
      </w:r>
    </w:p>
    <w:p>
      <w:pPr>
        <w:pStyle w:val="ListParagraph"/>
        <w:numPr>
          <w:ilvl w:val="0"/>
          <w:numId w:val="2"/>
        </w:numPr>
        <w:spacing w:after="30" w:before="30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Championed adoption of AI-assisted tooling for automated code review and test generation, reducing framework onboarding time by 35%.</w:t>
      </w:r>
    </w:p>
    <w:p>
      <w:pPr>
        <w:pStyle w:val="ListParagraph"/>
        <w:numPr>
          <w:ilvl w:val="0"/>
          <w:numId w:val="2"/>
        </w:numPr>
        <w:spacing w:after="30" w:before="30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Designed and enforced performance engineering standards; led load-testing initiatives uncovering critical bottlenecks before production releases.</w:t>
      </w:r>
    </w:p>
    <w:p>
      <w:pPr>
        <w:pStyle w:val="ListParagraph"/>
        <w:numPr>
          <w:ilvl w:val="0"/>
          <w:numId w:val="2"/>
        </w:numPr>
        <w:spacing w:after="30" w:before="30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Partnered with product and DevOps teams to embed quality gates within Azure CI/CD pipelines, enabling continuous delivery at scale.</w:t>
      </w:r>
    </w:p>
    <w:p>
      <w:pPr>
        <w:pStyle w:val="ListParagraph"/>
        <w:numPr>
          <w:ilvl w:val="0"/>
          <w:numId w:val="2"/>
        </w:numPr>
        <w:spacing w:after="30" w:before="30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Introduced Playwright as a modern automation standard alongside Selenium, improving cross-browser coverage and execution speed by 40%.</w:t>
      </w:r>
    </w:p>
    <w:tbl>
      <w:tblPr>
        <w:tblW w:type="dxa" w:w="936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6000"/>
        <w:gridCol w:w="3360"/>
      </w:tblGrid>
      <w:tr>
        <w:tc>
          <w:tcPr>
            <w:tcW w:type="dxa" w:w="6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30" w:before="160"/>
            </w:pPr>
            <w:r>
              <w:rPr>
                <w:rFonts w:ascii="Arial" w:cs="Arial" w:eastAsia="Arial" w:hAnsi="Arial"/>
                <w:b/>
                <w:bCs/>
                <w:color w:val="1B3A6B"/>
                <w:sz w:val="22"/>
                <w:szCs w:val="22"/>
              </w:rPr>
              <w:t xml:space="preserve">Senior Automation Engineer</w:t>
            </w:r>
            <w:r>
              <w:rPr>
                <w:rFonts w:ascii="Arial" w:cs="Arial" w:eastAsia="Arial" w:hAnsi="Arial"/>
                <w:color w:val="2E6DA4"/>
                <w:sz w:val="20"/>
                <w:szCs w:val="20"/>
              </w:rPr>
              <w:t xml:space="preserve">  |  PwC Acceleration Centre</w:t>
            </w:r>
          </w:p>
        </w:tc>
        <w:tc>
          <w:tcPr>
            <w:tcW w:type="dxa" w:w="3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30" w:before="160"/>
              <w:jc w:val="right"/>
            </w:pPr>
            <w:r>
              <w:rPr>
                <w:rFonts w:ascii="Arial" w:cs="Arial" w:eastAsia="Arial" w:hAnsi="Arial"/>
                <w:i/>
                <w:iCs/>
                <w:color w:val="888888"/>
                <w:sz w:val="18"/>
                <w:szCs w:val="18"/>
              </w:rPr>
              <w:t xml:space="preserve">Jan 2021 – Jul 2024</w:t>
            </w:r>
          </w:p>
        </w:tc>
      </w:tr>
    </w:tbl>
    <w:p>
      <w:pPr>
        <w:spacing w:after="80" w:before="20"/>
      </w:pPr>
      <w:r>
        <w:rPr>
          <w:rFonts w:ascii="Arial" w:cs="Arial" w:eastAsia="Arial" w:hAnsi="Arial"/>
          <w:b/>
          <w:bCs/>
          <w:color w:val="2E6DA4"/>
          <w:sz w:val="17"/>
          <w:szCs w:val="17"/>
        </w:rPr>
        <w:t xml:space="preserve"> Java </w:t>
      </w:r>
      <w:r>
        <w:rPr>
          <w:rFonts w:ascii="Arial" w:cs="Arial" w:eastAsia="Arial" w:hAnsi="Arial"/>
          <w:color w:val="888888"/>
          <w:sz w:val="17"/>
          <w:szCs w:val="17"/>
        </w:rPr>
        <w:t xml:space="preserve">·</w:t>
      </w:r>
      <w:r>
        <w:rPr>
          <w:rFonts w:ascii="Arial" w:cs="Arial" w:eastAsia="Arial" w:hAnsi="Arial"/>
          <w:b/>
          <w:bCs/>
          <w:color w:val="2E6DA4"/>
          <w:sz w:val="17"/>
          <w:szCs w:val="17"/>
        </w:rPr>
        <w:t xml:space="preserve"> Python </w:t>
      </w:r>
      <w:r>
        <w:rPr>
          <w:rFonts w:ascii="Arial" w:cs="Arial" w:eastAsia="Arial" w:hAnsi="Arial"/>
          <w:color w:val="888888"/>
          <w:sz w:val="17"/>
          <w:szCs w:val="17"/>
        </w:rPr>
        <w:t xml:space="preserve">·</w:t>
      </w:r>
      <w:r>
        <w:rPr>
          <w:rFonts w:ascii="Arial" w:cs="Arial" w:eastAsia="Arial" w:hAnsi="Arial"/>
          <w:b/>
          <w:bCs/>
          <w:color w:val="2E6DA4"/>
          <w:sz w:val="17"/>
          <w:szCs w:val="17"/>
        </w:rPr>
        <w:t xml:space="preserve"> Selenium </w:t>
      </w:r>
      <w:r>
        <w:rPr>
          <w:rFonts w:ascii="Arial" w:cs="Arial" w:eastAsia="Arial" w:hAnsi="Arial"/>
          <w:color w:val="888888"/>
          <w:sz w:val="17"/>
          <w:szCs w:val="17"/>
        </w:rPr>
        <w:t xml:space="preserve">·</w:t>
      </w:r>
      <w:r>
        <w:rPr>
          <w:rFonts w:ascii="Arial" w:cs="Arial" w:eastAsia="Arial" w:hAnsi="Arial"/>
          <w:b/>
          <w:bCs/>
          <w:color w:val="2E6DA4"/>
          <w:sz w:val="17"/>
          <w:szCs w:val="17"/>
        </w:rPr>
        <w:t xml:space="preserve"> REST Assured </w:t>
      </w:r>
      <w:r>
        <w:rPr>
          <w:rFonts w:ascii="Arial" w:cs="Arial" w:eastAsia="Arial" w:hAnsi="Arial"/>
          <w:color w:val="888888"/>
          <w:sz w:val="17"/>
          <w:szCs w:val="17"/>
        </w:rPr>
        <w:t xml:space="preserve">·</w:t>
      </w:r>
      <w:r>
        <w:rPr>
          <w:rFonts w:ascii="Arial" w:cs="Arial" w:eastAsia="Arial" w:hAnsi="Arial"/>
          <w:b/>
          <w:bCs/>
          <w:color w:val="2E6DA4"/>
          <w:sz w:val="17"/>
          <w:szCs w:val="17"/>
        </w:rPr>
        <w:t xml:space="preserve"> Azure Pipelines </w:t>
      </w:r>
      <w:r>
        <w:rPr>
          <w:rFonts w:ascii="Arial" w:cs="Arial" w:eastAsia="Arial" w:hAnsi="Arial"/>
          <w:color w:val="888888"/>
          <w:sz w:val="17"/>
          <w:szCs w:val="17"/>
        </w:rPr>
        <w:t xml:space="preserve">·</w:t>
      </w:r>
      <w:r>
        <w:rPr>
          <w:rFonts w:ascii="Arial" w:cs="Arial" w:eastAsia="Arial" w:hAnsi="Arial"/>
          <w:b/>
          <w:bCs/>
          <w:color w:val="2E6DA4"/>
          <w:sz w:val="17"/>
          <w:szCs w:val="17"/>
        </w:rPr>
        <w:t xml:space="preserve"> Appium </w:t>
      </w:r>
      <w:r>
        <w:rPr>
          <w:rFonts w:ascii="Arial" w:cs="Arial" w:eastAsia="Arial" w:hAnsi="Arial"/>
          <w:color w:val="888888"/>
          <w:sz w:val="17"/>
          <w:szCs w:val="17"/>
        </w:rPr>
        <w:t xml:space="preserve">·</w:t>
      </w:r>
      <w:r>
        <w:rPr>
          <w:rFonts w:ascii="Arial" w:cs="Arial" w:eastAsia="Arial" w:hAnsi="Arial"/>
          <w:b/>
          <w:bCs/>
          <w:color w:val="2E6DA4"/>
          <w:sz w:val="17"/>
          <w:szCs w:val="17"/>
        </w:rPr>
        <w:t xml:space="preserve"> Agile / SAFe </w:t>
      </w:r>
    </w:p>
    <w:p>
      <w:pPr>
        <w:pStyle w:val="ListParagraph"/>
        <w:numPr>
          <w:ilvl w:val="0"/>
          <w:numId w:val="2"/>
        </w:numPr>
        <w:spacing w:after="30" w:before="30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Architected a reusable, scalable automation framework in Java + Selenium + REST Assured, cutting regression cycle time by 50% and eliminating significant manual effort.</w:t>
      </w:r>
    </w:p>
    <w:p>
      <w:pPr>
        <w:pStyle w:val="ListParagraph"/>
        <w:numPr>
          <w:ilvl w:val="0"/>
          <w:numId w:val="2"/>
        </w:numPr>
        <w:spacing w:after="30" w:before="30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Built and maintained CI/CD automation workflows on Azure Pipelines, enabling nightly regression runs across web and mobile platforms with zero manual intervention.</w:t>
      </w:r>
    </w:p>
    <w:p>
      <w:pPr>
        <w:pStyle w:val="ListParagraph"/>
        <w:numPr>
          <w:ilvl w:val="0"/>
          <w:numId w:val="2"/>
        </w:numPr>
        <w:spacing w:after="30" w:before="30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Led mobile automation coverage for iOS and Android using Appium, establishing a device-agnostic execution layer integrated into the delivery pipeline.</w:t>
      </w:r>
    </w:p>
    <w:p>
      <w:pPr>
        <w:pStyle w:val="ListParagraph"/>
        <w:numPr>
          <w:ilvl w:val="0"/>
          <w:numId w:val="2"/>
        </w:numPr>
        <w:spacing w:after="30" w:before="30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Drove Agile engineering practices across the SDLC, contributing to sprint planning, effort estimation, and continuous improvement retrospectives.</w:t>
      </w:r>
    </w:p>
    <w:p>
      <w:pPr>
        <w:pStyle w:val="ListParagraph"/>
        <w:numPr>
          <w:ilvl w:val="0"/>
          <w:numId w:val="2"/>
        </w:numPr>
        <w:spacing w:after="30" w:before="30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Mentored junior engineers on Python scripting, framework design patterns, and cloud-based pipeline operations.</w:t>
      </w:r>
    </w:p>
    <w:tbl>
      <w:tblPr>
        <w:tblW w:type="dxa" w:w="936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6000"/>
        <w:gridCol w:w="3360"/>
      </w:tblGrid>
      <w:tr>
        <w:tc>
          <w:tcPr>
            <w:tcW w:type="dxa" w:w="6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30" w:before="160"/>
            </w:pPr>
            <w:r>
              <w:rPr>
                <w:rFonts w:ascii="Arial" w:cs="Arial" w:eastAsia="Arial" w:hAnsi="Arial"/>
                <w:b/>
                <w:bCs/>
                <w:color w:val="1B3A6B"/>
                <w:sz w:val="22"/>
                <w:szCs w:val="22"/>
              </w:rPr>
              <w:t xml:space="preserve">Software Engineer – Automation &amp; Performance</w:t>
            </w:r>
            <w:r>
              <w:rPr>
                <w:rFonts w:ascii="Arial" w:cs="Arial" w:eastAsia="Arial" w:hAnsi="Arial"/>
                <w:color w:val="2E6DA4"/>
                <w:sz w:val="20"/>
                <w:szCs w:val="20"/>
              </w:rPr>
              <w:t xml:space="preserve">  |  Deloitte USI</w:t>
            </w:r>
          </w:p>
        </w:tc>
        <w:tc>
          <w:tcPr>
            <w:tcW w:type="dxa" w:w="3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30" w:before="160"/>
              <w:jc w:val="right"/>
            </w:pPr>
            <w:r>
              <w:rPr>
                <w:rFonts w:ascii="Arial" w:cs="Arial" w:eastAsia="Arial" w:hAnsi="Arial"/>
                <w:i/>
                <w:iCs/>
                <w:color w:val="888888"/>
                <w:sz w:val="18"/>
                <w:szCs w:val="18"/>
              </w:rPr>
              <w:t xml:space="preserve">Aug 2018 – Oct 2020</w:t>
            </w:r>
          </w:p>
        </w:tc>
      </w:tr>
    </w:tbl>
    <w:p>
      <w:pPr>
        <w:spacing w:after="80" w:before="20"/>
      </w:pPr>
      <w:r>
        <w:rPr>
          <w:rFonts w:ascii="Arial" w:cs="Arial" w:eastAsia="Arial" w:hAnsi="Arial"/>
          <w:b/>
          <w:bCs/>
          <w:color w:val="2E6DA4"/>
          <w:sz w:val="17"/>
          <w:szCs w:val="17"/>
        </w:rPr>
        <w:t xml:space="preserve"> Appium </w:t>
      </w:r>
      <w:r>
        <w:rPr>
          <w:rFonts w:ascii="Arial" w:cs="Arial" w:eastAsia="Arial" w:hAnsi="Arial"/>
          <w:color w:val="888888"/>
          <w:sz w:val="17"/>
          <w:szCs w:val="17"/>
        </w:rPr>
        <w:t xml:space="preserve">·</w:t>
      </w:r>
      <w:r>
        <w:rPr>
          <w:rFonts w:ascii="Arial" w:cs="Arial" w:eastAsia="Arial" w:hAnsi="Arial"/>
          <w:b/>
          <w:bCs/>
          <w:color w:val="2E6DA4"/>
          <w:sz w:val="17"/>
          <w:szCs w:val="17"/>
        </w:rPr>
        <w:t xml:space="preserve"> JMeter </w:t>
      </w:r>
      <w:r>
        <w:rPr>
          <w:rFonts w:ascii="Arial" w:cs="Arial" w:eastAsia="Arial" w:hAnsi="Arial"/>
          <w:color w:val="888888"/>
          <w:sz w:val="17"/>
          <w:szCs w:val="17"/>
        </w:rPr>
        <w:t xml:space="preserve">·</w:t>
      </w:r>
      <w:r>
        <w:rPr>
          <w:rFonts w:ascii="Arial" w:cs="Arial" w:eastAsia="Arial" w:hAnsi="Arial"/>
          <w:b/>
          <w:bCs/>
          <w:color w:val="2E6DA4"/>
          <w:sz w:val="17"/>
          <w:szCs w:val="17"/>
        </w:rPr>
        <w:t xml:space="preserve"> BlazeMeter </w:t>
      </w:r>
      <w:r>
        <w:rPr>
          <w:rFonts w:ascii="Arial" w:cs="Arial" w:eastAsia="Arial" w:hAnsi="Arial"/>
          <w:color w:val="888888"/>
          <w:sz w:val="17"/>
          <w:szCs w:val="17"/>
        </w:rPr>
        <w:t xml:space="preserve">·</w:t>
      </w:r>
      <w:r>
        <w:rPr>
          <w:rFonts w:ascii="Arial" w:cs="Arial" w:eastAsia="Arial" w:hAnsi="Arial"/>
          <w:b/>
          <w:bCs/>
          <w:color w:val="2E6DA4"/>
          <w:sz w:val="17"/>
          <w:szCs w:val="17"/>
        </w:rPr>
        <w:t xml:space="preserve"> Mobile Automation </w:t>
      </w:r>
      <w:r>
        <w:rPr>
          <w:rFonts w:ascii="Arial" w:cs="Arial" w:eastAsia="Arial" w:hAnsi="Arial"/>
          <w:color w:val="888888"/>
          <w:sz w:val="17"/>
          <w:szCs w:val="17"/>
        </w:rPr>
        <w:t xml:space="preserve">·</w:t>
      </w:r>
      <w:r>
        <w:rPr>
          <w:rFonts w:ascii="Arial" w:cs="Arial" w:eastAsia="Arial" w:hAnsi="Arial"/>
          <w:b/>
          <w:bCs/>
          <w:color w:val="2E6DA4"/>
          <w:sz w:val="17"/>
          <w:szCs w:val="17"/>
        </w:rPr>
        <w:t xml:space="preserve"> Usability Engineering </w:t>
      </w:r>
      <w:r>
        <w:rPr>
          <w:rFonts w:ascii="Arial" w:cs="Arial" w:eastAsia="Arial" w:hAnsi="Arial"/>
          <w:color w:val="888888"/>
          <w:sz w:val="17"/>
          <w:szCs w:val="17"/>
        </w:rPr>
        <w:t xml:space="preserve">·</w:t>
      </w:r>
      <w:r>
        <w:rPr>
          <w:rFonts w:ascii="Arial" w:cs="Arial" w:eastAsia="Arial" w:hAnsi="Arial"/>
          <w:b/>
          <w:bCs/>
          <w:color w:val="2E6DA4"/>
          <w:sz w:val="17"/>
          <w:szCs w:val="17"/>
        </w:rPr>
        <w:t xml:space="preserve"> Cross-platform </w:t>
      </w:r>
    </w:p>
    <w:p>
      <w:pPr>
        <w:pStyle w:val="ListParagraph"/>
        <w:numPr>
          <w:ilvl w:val="0"/>
          <w:numId w:val="2"/>
        </w:numPr>
        <w:spacing w:after="30" w:before="30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Engineered end-to-end mobile automation solutions using Appium across Android and iOS, providing comprehensive coverage for multi-platform enterprise applications.</w:t>
      </w:r>
    </w:p>
    <w:p>
      <w:pPr>
        <w:pStyle w:val="ListParagraph"/>
        <w:numPr>
          <w:ilvl w:val="0"/>
          <w:numId w:val="2"/>
        </w:numPr>
        <w:spacing w:after="30" w:before="30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Led performance engineering workstreams using JMeter and BlazeMeter; designed load scenarios modelling real-world traffic patterns and identified critical bottlenecks.</w:t>
      </w:r>
    </w:p>
    <w:p>
      <w:pPr>
        <w:pStyle w:val="ListParagraph"/>
        <w:numPr>
          <w:ilvl w:val="0"/>
          <w:numId w:val="2"/>
        </w:numPr>
        <w:spacing w:after="30" w:before="30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Conducted structured usability engineering evaluations on Windows, Android, and iOS, producing actionable insights that improved UX quality scores.</w:t>
      </w:r>
    </w:p>
    <w:p>
      <w:pPr>
        <w:pStyle w:val="ListParagraph"/>
        <w:numPr>
          <w:ilvl w:val="0"/>
          <w:numId w:val="2"/>
        </w:numPr>
        <w:spacing w:after="30" w:before="30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Evaluated and integrated third-party automation frameworks to accelerate delivery timelines and reduce engineering overhead.</w:t>
      </w:r>
    </w:p>
    <w:tbl>
      <w:tblPr>
        <w:tblW w:type="dxa" w:w="936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6000"/>
        <w:gridCol w:w="3360"/>
      </w:tblGrid>
      <w:tr>
        <w:tc>
          <w:tcPr>
            <w:tcW w:type="dxa" w:w="6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30" w:before="160"/>
            </w:pPr>
            <w:r>
              <w:rPr>
                <w:rFonts w:ascii="Arial" w:cs="Arial" w:eastAsia="Arial" w:hAnsi="Arial"/>
                <w:b/>
                <w:bCs/>
                <w:color w:val="1B3A6B"/>
                <w:sz w:val="22"/>
                <w:szCs w:val="22"/>
              </w:rPr>
              <w:t xml:space="preserve">Software Engineer</w:t>
            </w:r>
            <w:r>
              <w:rPr>
                <w:rFonts w:ascii="Arial" w:cs="Arial" w:eastAsia="Arial" w:hAnsi="Arial"/>
                <w:color w:val="2E6DA4"/>
                <w:sz w:val="20"/>
                <w:szCs w:val="20"/>
              </w:rPr>
              <w:t xml:space="preserve">  |  Infosys Ltd.</w:t>
            </w:r>
          </w:p>
        </w:tc>
        <w:tc>
          <w:tcPr>
            <w:tcW w:type="dxa" w:w="3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30" w:before="160"/>
              <w:jc w:val="right"/>
            </w:pPr>
            <w:r>
              <w:rPr>
                <w:rFonts w:ascii="Arial" w:cs="Arial" w:eastAsia="Arial" w:hAnsi="Arial"/>
                <w:i/>
                <w:iCs/>
                <w:color w:val="888888"/>
                <w:sz w:val="18"/>
                <w:szCs w:val="18"/>
              </w:rPr>
              <w:t xml:space="preserve">Feb 2014 – Jun 2018</w:t>
            </w:r>
          </w:p>
        </w:tc>
      </w:tr>
    </w:tbl>
    <w:p>
      <w:pPr>
        <w:spacing w:after="80" w:before="20"/>
      </w:pPr>
      <w:r>
        <w:rPr>
          <w:rFonts w:ascii="Arial" w:cs="Arial" w:eastAsia="Arial" w:hAnsi="Arial"/>
          <w:b/>
          <w:bCs/>
          <w:color w:val="2E6DA4"/>
          <w:sz w:val="17"/>
          <w:szCs w:val="17"/>
        </w:rPr>
        <w:t xml:space="preserve"> Requirements Analysis </w:t>
      </w:r>
      <w:r>
        <w:rPr>
          <w:rFonts w:ascii="Arial" w:cs="Arial" w:eastAsia="Arial" w:hAnsi="Arial"/>
          <w:color w:val="888888"/>
          <w:sz w:val="17"/>
          <w:szCs w:val="17"/>
        </w:rPr>
        <w:t xml:space="preserve">·</w:t>
      </w:r>
      <w:r>
        <w:rPr>
          <w:rFonts w:ascii="Arial" w:cs="Arial" w:eastAsia="Arial" w:hAnsi="Arial"/>
          <w:b/>
          <w:bCs/>
          <w:color w:val="2E6DA4"/>
          <w:sz w:val="17"/>
          <w:szCs w:val="17"/>
        </w:rPr>
        <w:t xml:space="preserve"> Test Automation </w:t>
      </w:r>
      <w:r>
        <w:rPr>
          <w:rFonts w:ascii="Arial" w:cs="Arial" w:eastAsia="Arial" w:hAnsi="Arial"/>
          <w:color w:val="888888"/>
          <w:sz w:val="17"/>
          <w:szCs w:val="17"/>
        </w:rPr>
        <w:t xml:space="preserve">·</w:t>
      </w:r>
      <w:r>
        <w:rPr>
          <w:rFonts w:ascii="Arial" w:cs="Arial" w:eastAsia="Arial" w:hAnsi="Arial"/>
          <w:b/>
          <w:bCs/>
          <w:color w:val="2E6DA4"/>
          <w:sz w:val="17"/>
          <w:szCs w:val="17"/>
        </w:rPr>
        <w:t xml:space="preserve"> Python </w:t>
      </w:r>
      <w:r>
        <w:rPr>
          <w:rFonts w:ascii="Arial" w:cs="Arial" w:eastAsia="Arial" w:hAnsi="Arial"/>
          <w:color w:val="888888"/>
          <w:sz w:val="17"/>
          <w:szCs w:val="17"/>
        </w:rPr>
        <w:t xml:space="preserve">·</w:t>
      </w:r>
      <w:r>
        <w:rPr>
          <w:rFonts w:ascii="Arial" w:cs="Arial" w:eastAsia="Arial" w:hAnsi="Arial"/>
          <w:b/>
          <w:bCs/>
          <w:color w:val="2E6DA4"/>
          <w:sz w:val="17"/>
          <w:szCs w:val="17"/>
        </w:rPr>
        <w:t xml:space="preserve"> Root Cause Analysis </w:t>
      </w:r>
      <w:r>
        <w:rPr>
          <w:rFonts w:ascii="Arial" w:cs="Arial" w:eastAsia="Arial" w:hAnsi="Arial"/>
          <w:color w:val="888888"/>
          <w:sz w:val="17"/>
          <w:szCs w:val="17"/>
        </w:rPr>
        <w:t xml:space="preserve">·</w:t>
      </w:r>
      <w:r>
        <w:rPr>
          <w:rFonts w:ascii="Arial" w:cs="Arial" w:eastAsia="Arial" w:hAnsi="Arial"/>
          <w:b/>
          <w:bCs/>
          <w:color w:val="2E6DA4"/>
          <w:sz w:val="17"/>
          <w:szCs w:val="17"/>
        </w:rPr>
        <w:t xml:space="preserve"> Agile </w:t>
      </w:r>
    </w:p>
    <w:p>
      <w:pPr>
        <w:pStyle w:val="ListParagraph"/>
        <w:numPr>
          <w:ilvl w:val="0"/>
          <w:numId w:val="2"/>
        </w:numPr>
        <w:spacing w:after="30" w:before="30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Designed and implemented comprehensive test plans, automation scripts, and reusable utility libraries aligned with engineering requirements for large-scale enterprise projects.</w:t>
      </w:r>
    </w:p>
    <w:p>
      <w:pPr>
        <w:pStyle w:val="ListParagraph"/>
        <w:numPr>
          <w:ilvl w:val="0"/>
          <w:numId w:val="2"/>
        </w:numPr>
        <w:spacing w:after="30" w:before="30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Performed in-depth root cause analysis on production incidents, contributing to cross-functional post-mortems and driving preventative engineering improvements.</w:t>
      </w:r>
    </w:p>
    <w:p>
      <w:pPr>
        <w:pStyle w:val="ListParagraph"/>
        <w:numPr>
          <w:ilvl w:val="0"/>
          <w:numId w:val="2"/>
        </w:numPr>
        <w:spacing w:after="30" w:before="30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Collaborated with architects and developers on testability reviews of system designs, influencing software architecture decisions to enable robust automated verification.</w:t>
      </w:r>
    </w:p>
    <w:p>
      <w:pPr>
        <w:pStyle w:val="ListParagraph"/>
        <w:numPr>
          <w:ilvl w:val="0"/>
          <w:numId w:val="2"/>
        </w:numPr>
        <w:spacing w:after="30" w:before="30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Built a foundation in Python scripting and API workflow automation that became the basis for later framework architecture work.</w:t>
      </w:r>
    </w:p>
    <w:p>
      <w:pPr>
        <w:spacing w:after="120" w:before="0"/>
      </w:pPr>
    </w:p>
    <w:p>
      <w:pPr>
        <w:pBdr>
          <w:bottom w:val="single" w:color="2E6DA4" w:sz="8" w:space="4"/>
        </w:pBdr>
        <w:spacing w:after="60" w:before="240"/>
      </w:pPr>
      <w:r>
        <w:rPr>
          <w:rFonts w:ascii="Arial" w:cs="Arial" w:eastAsia="Arial" w:hAnsi="Arial"/>
          <w:b/>
          <w:bCs/>
          <w:color w:val="1B3A6B"/>
          <w:sz w:val="22"/>
          <w:szCs w:val="22"/>
        </w:rPr>
        <w:t xml:space="preserve">CERTIFICATIONS &amp; CREDENTIALS</w:t>
      </w:r>
    </w:p>
    <w:p>
      <w:pPr>
        <w:spacing w:after="80" w:before="0"/>
      </w:pPr>
    </w:p>
    <w:tbl>
      <w:tblPr>
        <w:tblW w:type="dxa" w:w="936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c>
          <w:tcPr>
            <w:tcW w:type="dxa" w:w="46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120"/>
            </w:tcMar>
          </w:tcPr>
          <w:p>
            <w:pPr>
              <w:pStyle w:val="ListParagraph"/>
              <w:numPr>
                <w:ilvl w:val="0"/>
                <w:numId w:val="2"/>
              </w:numPr>
              <w:spacing w:after="30" w:before="30"/>
            </w:pPr>
            <w:r>
              <w:rPr>
                <w:rFonts w:ascii="Arial" w:cs="Arial" w:eastAsia="Arial" w:hAnsi="Arial"/>
                <w:color w:val="555555"/>
                <w:sz w:val="20"/>
                <w:szCs w:val="20"/>
              </w:rPr>
              <w:t xml:space="preserve">Microsoft Certified: Azure AI Fundamentals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30" w:before="30"/>
            </w:pPr>
            <w:r>
              <w:rPr>
                <w:rFonts w:ascii="Arial" w:cs="Arial" w:eastAsia="Arial" w:hAnsi="Arial"/>
                <w:color w:val="555555"/>
                <w:sz w:val="20"/>
                <w:szCs w:val="20"/>
              </w:rPr>
              <w:t xml:space="preserve">AWS Certified Cloud Practitioner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30" w:before="30"/>
            </w:pPr>
            <w:r>
              <w:rPr>
                <w:rFonts w:ascii="Arial" w:cs="Arial" w:eastAsia="Arial" w:hAnsi="Arial"/>
                <w:color w:val="555555"/>
                <w:sz w:val="20"/>
                <w:szCs w:val="20"/>
              </w:rPr>
              <w:t xml:space="preserve">Certified SAFe® 6 Product Owner / Product Manager (2025)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30" w:before="30"/>
            </w:pPr>
            <w:r>
              <w:rPr>
                <w:rFonts w:ascii="Arial" w:cs="Arial" w:eastAsia="Arial" w:hAnsi="Arial"/>
                <w:color w:val="555555"/>
                <w:sz w:val="20"/>
                <w:szCs w:val="20"/>
              </w:rPr>
              <w:t xml:space="preserve">Certified Scrum Product Owner® – CSPO (2025)</w:t>
            </w:r>
          </w:p>
        </w:tc>
        <w:tc>
          <w:tcPr>
            <w:tcW w:type="dxa" w:w="46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120"/>
              <w:bottom w:type="dxa" w:w="40"/>
              <w:right w:type="dxa" w:w="0"/>
            </w:tcMar>
          </w:tcPr>
          <w:p>
            <w:pPr>
              <w:pStyle w:val="ListParagraph"/>
              <w:numPr>
                <w:ilvl w:val="0"/>
                <w:numId w:val="2"/>
              </w:numPr>
              <w:spacing w:after="30" w:before="30"/>
            </w:pPr>
            <w:r>
              <w:rPr>
                <w:rFonts w:ascii="Arial" w:cs="Arial" w:eastAsia="Arial" w:hAnsi="Arial"/>
                <w:color w:val="555555"/>
                <w:sz w:val="20"/>
                <w:szCs w:val="20"/>
              </w:rPr>
              <w:t xml:space="preserve">SAFe 6 Agilist (2024)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30" w:before="30"/>
            </w:pPr>
            <w:r>
              <w:rPr>
                <w:rFonts w:ascii="Arial" w:cs="Arial" w:eastAsia="Arial" w:hAnsi="Arial"/>
                <w:color w:val="555555"/>
                <w:sz w:val="20"/>
                <w:szCs w:val="20"/>
              </w:rPr>
              <w:t xml:space="preserve">Advanced Lean Six Sigma Yellow Belt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30" w:before="30"/>
            </w:pPr>
            <w:r>
              <w:rPr>
                <w:rFonts w:ascii="Arial" w:cs="Arial" w:eastAsia="Arial" w:hAnsi="Arial"/>
                <w:color w:val="555555"/>
                <w:sz w:val="20"/>
                <w:szCs w:val="20"/>
              </w:rPr>
              <w:t xml:space="preserve">UiPath Academy Test Automation Engineer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30" w:before="30"/>
            </w:pPr>
            <w:r>
              <w:rPr>
                <w:rFonts w:ascii="Arial" w:cs="Arial" w:eastAsia="Arial" w:hAnsi="Arial"/>
                <w:color w:val="555555"/>
                <w:sz w:val="20"/>
                <w:szCs w:val="20"/>
              </w:rPr>
              <w:t xml:space="preserve">JMeter – Performance Testing Specialist</w:t>
            </w:r>
          </w:p>
        </w:tc>
      </w:tr>
    </w:tbl>
    <w:p>
      <w:pPr>
        <w:spacing w:after="120" w:before="0"/>
      </w:pPr>
    </w:p>
    <w:p>
      <w:pPr>
        <w:pBdr>
          <w:bottom w:val="single" w:color="2E6DA4" w:sz="8" w:space="4"/>
        </w:pBdr>
        <w:spacing w:after="60" w:before="240"/>
      </w:pPr>
      <w:r>
        <w:rPr>
          <w:rFonts w:ascii="Arial" w:cs="Arial" w:eastAsia="Arial" w:hAnsi="Arial"/>
          <w:b/>
          <w:bCs/>
          <w:color w:val="1B3A6B"/>
          <w:sz w:val="22"/>
          <w:szCs w:val="22"/>
        </w:rPr>
        <w:t xml:space="preserve">EDUCATION</w:t>
      </w:r>
    </w:p>
    <w:p>
      <w:pPr>
        <w:spacing w:after="80" w:before="0"/>
      </w:pPr>
    </w:p>
    <w:tbl>
      <w:tblPr>
        <w:tblW w:type="dxa" w:w="936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7000"/>
        <w:gridCol w:w="2360"/>
      </w:tblGrid>
      <w:tr>
        <w:tc>
          <w:tcPr>
            <w:tcW w:type="dxa" w:w="7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0"/>
            </w:tcMar>
          </w:tcPr>
          <w:p>
            <w:pPr>
              <w:spacing w:after="20" w:before="0"/>
            </w:pPr>
            <w:r>
              <w:rPr>
                <w:rFonts w:ascii="Arial" w:cs="Arial" w:eastAsia="Arial" w:hAnsi="Arial"/>
                <w:b/>
                <w:bCs/>
                <w:color w:val="1B3A6B"/>
                <w:sz w:val="21"/>
                <w:szCs w:val="21"/>
              </w:rPr>
              <w:t xml:space="preserve">Post Graduate Program – Artificial Intelligence &amp; Machine Learning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2E6DA4"/>
                <w:sz w:val="19"/>
                <w:szCs w:val="19"/>
              </w:rPr>
              <w:t xml:space="preserve">The University of Texas at Austin  ·  McCombs School of Business / Great Learning</w:t>
            </w:r>
          </w:p>
        </w:tc>
        <w:tc>
          <w:tcPr>
            <w:tcW w:type="dxa" w:w="2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i/>
                <w:iCs/>
                <w:color w:val="888888"/>
                <w:sz w:val="19"/>
                <w:szCs w:val="19"/>
              </w:rPr>
              <w:t xml:space="preserve">In Progress</w:t>
            </w:r>
          </w:p>
        </w:tc>
      </w:tr>
      <w:tr>
        <w:tc>
          <w:tcPr>
            <w:tcW w:type="dxa" w:w="7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40"/>
              <w:right w:type="dxa" w:w="0"/>
            </w:tcMar>
          </w:tcPr>
          <w:p>
            <w:pPr>
              <w:spacing w:after="20" w:before="0"/>
            </w:pPr>
            <w:r>
              <w:rPr>
                <w:rFonts w:ascii="Arial" w:cs="Arial" w:eastAsia="Arial" w:hAnsi="Arial"/>
                <w:b/>
                <w:bCs/>
                <w:color w:val="1B3A6B"/>
                <w:sz w:val="21"/>
                <w:szCs w:val="21"/>
              </w:rPr>
              <w:t xml:space="preserve">Bachelor of Technology (B.Tech.) – Computer Science Engineering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2E6DA4"/>
                <w:sz w:val="19"/>
                <w:szCs w:val="19"/>
              </w:rPr>
              <w:t xml:space="preserve">West Bengal University of Technology</w:t>
            </w:r>
          </w:p>
        </w:tc>
        <w:tc>
          <w:tcPr>
            <w:tcW w:type="dxa" w:w="2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40"/>
              <w:right w:type="dxa" w:w="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i/>
                <w:iCs/>
                <w:color w:val="888888"/>
                <w:sz w:val="19"/>
                <w:szCs w:val="19"/>
              </w:rPr>
              <w:t xml:space="preserve">2009 – 2013</w:t>
            </w:r>
          </w:p>
        </w:tc>
      </w:tr>
    </w:tbl>
    <w:p>
      <w:pPr>
        <w:spacing w:after="120" w:before="0"/>
      </w:pPr>
    </w:p>
    <w:p>
      <w:pPr>
        <w:pBdr>
          <w:top w:val="single" w:color="D0D8E4" w:sz="4" w:space="4"/>
        </w:pBdr>
        <w:spacing w:after="40" w:before="120"/>
      </w:pPr>
      <w:r>
        <w:rPr>
          <w:rFonts w:ascii="Arial" w:cs="Arial" w:eastAsia="Arial" w:hAnsi="Arial"/>
          <w:b/>
          <w:bCs/>
          <w:color w:val="888888"/>
          <w:sz w:val="16"/>
          <w:szCs w:val="16"/>
        </w:rPr>
        <w:t xml:space="preserve">ATS OPTIMIZATION KEYWORDS (embedded throughout resume):</w:t>
      </w:r>
    </w:p>
    <w:p>
      <w:pPr>
        <w:spacing w:after="0" w:before="0"/>
      </w:pPr>
      <w:r>
        <w:rPr>
          <w:rFonts w:ascii="Arial" w:cs="Arial" w:eastAsia="Arial" w:hAnsi="Arial"/>
          <w:i/>
          <w:iCs/>
          <w:color w:val="888888"/>
          <w:sz w:val="16"/>
          <w:szCs w:val="16"/>
        </w:rPr>
        <w:t xml:space="preserve">Artificial Intelligence · Machine Learning · Generative AI · LLM Engineering · RAG · Prompt Engineering · LangChain · LlamaIndex · OpenAI API · Hugging Face · Vector Database · NLP · Deep Learning · Python · TensorFlow · PyTorch · AI Automation · AI Platform Engineering · API Automation · CI/CD · Azure DevOps · Docker · Agile · SAFe · Performance Engineering · Selenium · Playwright · Appium · REST API</w:t>
      </w:r>
    </w:p>
    <w:sectPr>
      <w:pgSz w:w="12240" w:h="15840" w:orient="portrait"/>
      <w:pgMar w:top="900" w:right="1080" w:bottom="90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▸"/>
      <w:lvlJc w:val="left"/>
      <w:pPr>
        <w:ind w:left="360" w:hanging="24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2026-05-17T20:54:49.633Z</dcterms:created>
  <dcterms:modified xsi:type="dcterms:W3CDTF">2026-05-17T20:54:49.634Z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